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BC2A48" w14:paraId="68C062B8" w14:textId="77777777">
        <w:trPr>
          <w:trHeight w:hRule="exact" w:val="227"/>
        </w:trPr>
        <w:tc>
          <w:tcPr>
            <w:tcW w:w="935" w:type="dxa"/>
            <w:vAlign w:val="center"/>
          </w:tcPr>
          <w:p w14:paraId="2DE01B16" w14:textId="77777777" w:rsidR="00BC2A48" w:rsidRDefault="00BC2A48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097BF25D" w14:textId="77777777" w:rsidR="00BC2A48" w:rsidRDefault="00BC2A48" w:rsidP="008C7D44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730D8551" w14:textId="77777777" w:rsidR="00BC2A48" w:rsidRDefault="00BC2A48" w:rsidP="008C7D44">
            <w:pPr>
              <w:pStyle w:val="dajtabulky"/>
            </w:pPr>
          </w:p>
        </w:tc>
      </w:tr>
      <w:tr w:rsidR="00BC2A48" w14:paraId="60D73BF3" w14:textId="77777777">
        <w:trPr>
          <w:trHeight w:hRule="exact" w:val="227"/>
        </w:trPr>
        <w:tc>
          <w:tcPr>
            <w:tcW w:w="935" w:type="dxa"/>
            <w:vAlign w:val="center"/>
          </w:tcPr>
          <w:p w14:paraId="37981512" w14:textId="77777777" w:rsidR="00BC2A48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606D206A" w14:textId="77777777" w:rsidR="00BC2A48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55816A48" w14:textId="77777777" w:rsidR="00BC2A48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3C23B36B" w14:textId="77777777" w:rsidR="00BC2A48" w:rsidRDefault="00BC2A48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BC2A48" w14:paraId="1A140BBB" w14:textId="77777777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40A6D70E" w14:textId="77777777" w:rsidR="00BC2A48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BD506FA" wp14:editId="26796795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B94FCFD" w14:textId="77777777" w:rsidR="00BC2A48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7DBA6BFE" w14:textId="77777777" w:rsidR="00BC2A48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14:paraId="73CDF9AA" w14:textId="77777777" w:rsidR="00BC2A48" w:rsidRDefault="00D82B62" w:rsidP="0046155E">
            <w:pPr>
              <w:pStyle w:val="Firma"/>
            </w:pPr>
            <w:r>
              <w:t>Palackého tř. 12, 612 00 Brno</w:t>
            </w:r>
          </w:p>
          <w:p w14:paraId="3FEFDB7B" w14:textId="77777777" w:rsidR="00BC2A48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6FC3C6BC" w14:textId="77777777" w:rsidR="00BC2A48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44AC1E52" w14:textId="77777777" w:rsidR="00BC2A48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BC2A48" w14:paraId="5822F96C" w14:textId="77777777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E12B38B" w14:textId="77777777" w:rsidR="00BC2A48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7E7E8E38" w14:textId="77777777" w:rsidR="00BC2A48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BC2A48" w14:paraId="4284CD4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50C78078" w14:textId="77777777" w:rsidR="00BC2A48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0986C70" w14:textId="77777777" w:rsidR="00BC2A48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201031">
              <w:fldChar w:fldCharType="separate"/>
            </w:r>
            <w:r>
              <w:fldChar w:fldCharType="end"/>
            </w:r>
            <w:bookmarkEnd w:id="1"/>
          </w:p>
        </w:tc>
      </w:tr>
      <w:tr w:rsidR="00BC2A48" w14:paraId="3753FDAD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BC49075" w14:textId="77777777" w:rsidR="00BC2A48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3EE6CD05" w14:textId="77777777" w:rsidR="00BC2A48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Jaroslav Jarolí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Jaroslav Jarolím</w:t>
            </w:r>
            <w:r>
              <w:fldChar w:fldCharType="end"/>
            </w:r>
            <w:bookmarkEnd w:id="2"/>
          </w:p>
        </w:tc>
      </w:tr>
      <w:tr w:rsidR="00BC2A48" w14:paraId="3E65201B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2C37ACEA" w14:textId="77777777" w:rsidR="00BC2A48" w:rsidRDefault="00D82B62" w:rsidP="00C01487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6EF16964" w14:textId="77777777" w:rsidR="00BC2A48" w:rsidRDefault="00D82B62" w:rsidP="008128D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Jakub Mar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Jakub Marek</w:t>
            </w:r>
            <w:r>
              <w:fldChar w:fldCharType="end"/>
            </w:r>
            <w:bookmarkEnd w:id="3"/>
          </w:p>
        </w:tc>
      </w:tr>
      <w:tr w:rsidR="00BC2A48" w14:paraId="54C72F67" w14:textId="77777777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8D9289" w14:textId="77777777" w:rsidR="00BC2A48" w:rsidRDefault="00D82B62" w:rsidP="00C01487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A3B6CBB" w14:textId="77777777" w:rsidR="00BC2A48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Jaroslav Jarolí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Jaroslav Jarolím</w:t>
            </w:r>
            <w:r>
              <w:fldChar w:fldCharType="end"/>
            </w:r>
            <w:bookmarkEnd w:id="4"/>
          </w:p>
        </w:tc>
      </w:tr>
    </w:tbl>
    <w:p w14:paraId="78726ACA" w14:textId="77777777" w:rsidR="00BC2A48" w:rsidRDefault="00BC2A4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BC2A48" w14:paraId="2AB7603A" w14:textId="77777777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14:paraId="5877C88F" w14:textId="77777777" w:rsidR="00BC2A48" w:rsidRDefault="00D82B62" w:rsidP="00C01487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14:paraId="0655F57D" w14:textId="77777777" w:rsidR="00BC2A48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5"/>
          </w:p>
        </w:tc>
      </w:tr>
      <w:tr w:rsidR="00BC2A48" w14:paraId="25F748A8" w14:textId="77777777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14:paraId="57F3642A" w14:textId="77777777" w:rsidR="00BC2A48" w:rsidRDefault="00D82B62" w:rsidP="00C01487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14:paraId="2F5689F5" w14:textId="77777777" w:rsidR="00BC2A48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6"/>
          </w:p>
        </w:tc>
      </w:tr>
    </w:tbl>
    <w:p w14:paraId="1AAB27E8" w14:textId="77777777" w:rsidR="00BC2A48" w:rsidRDefault="00BC2A4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BC2A48" w14:paraId="63BB87E4" w14:textId="77777777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69EB6" w14:textId="77777777" w:rsidR="00BC2A48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BA38521" w14:textId="770C4202" w:rsidR="00BC2A48" w:rsidRDefault="00E2461E" w:rsidP="00884801">
            <w:pPr>
              <w:pStyle w:val="dajtabulky"/>
            </w:pPr>
            <w:fldSimple w:instr=" NUMPAGES   \* MERGEFORMAT ">
              <w:r w:rsidR="00201031" w:rsidRPr="00201031">
                <w:rPr>
                  <w:rFonts w:ascii="Tahoma" w:hAnsi="Tahoma" w:cs="Tahoma"/>
                  <w:noProof/>
                </w:rPr>
                <w:t>5</w:t>
              </w:r>
            </w:fldSimple>
            <w:r w:rsidR="002A1137">
              <w:rPr>
                <w:rFonts w:ascii="Tahoma" w:hAnsi="Tahoma" w:cs="Tahoma"/>
              </w:rPr>
              <w:t>×</w:t>
            </w:r>
            <w:r w:rsidR="002A1137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B373B18" w14:textId="77777777" w:rsidR="00BC2A48" w:rsidRDefault="00D82B62" w:rsidP="00884801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E30E85" w14:textId="77777777" w:rsidR="00BC2A48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201031"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1B0AF19" w14:textId="77777777" w:rsidR="00BC2A48" w:rsidRDefault="00D82B62" w:rsidP="00766C1B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3A476C" w14:textId="77777777" w:rsidR="00BC2A48" w:rsidRDefault="00D82B62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DSP,DPS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0D2BF18" w14:textId="77777777" w:rsidR="00BC2A48" w:rsidRDefault="00D82B62" w:rsidP="00884801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F9D2CA" w14:textId="77777777" w:rsidR="00BC2A48" w:rsidRDefault="00D82B62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3/202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03/2022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184568" w14:textId="77777777" w:rsidR="00BC2A48" w:rsidRDefault="00D82B62" w:rsidP="00884801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142B7F33" w14:textId="77777777" w:rsidR="00BC2A48" w:rsidRDefault="00D82B62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75421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1575421-16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14:paraId="2C5910CB" w14:textId="77777777" w:rsidR="00BC2A48" w:rsidRDefault="00BC2A48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BC2A48" w14:paraId="6791D4FB" w14:textId="77777777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E602DA" w14:textId="77777777" w:rsidR="00BC2A48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6084D7E" w14:textId="77777777" w:rsidR="00BC2A48" w:rsidRDefault="00BC2A48">
            <w:pPr>
              <w:pStyle w:val="Popisektabulky"/>
            </w:pPr>
          </w:p>
        </w:tc>
      </w:tr>
      <w:tr w:rsidR="00BC2A48" w14:paraId="0C2A5E0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60A484D6" w14:textId="77777777" w:rsidR="00BC2A48" w:rsidRDefault="00BC2A48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88F5E9" w14:textId="77777777" w:rsidR="00BC2A48" w:rsidRDefault="00B45184">
            <w:pPr>
              <w:pStyle w:val="Projekt"/>
            </w:pPr>
            <w:r>
              <w:t>BRNO, ATS LIBUŠINO ÚDOLÍ - REKONSTRUKCE STAVEBNÍ ČÁSTI A TECHNOLOGIE</w:t>
            </w:r>
          </w:p>
          <w:p w14:paraId="7B4EC242" w14:textId="77777777" w:rsidR="00BC2A48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201031">
              <w:rPr>
                <w:sz w:val="24"/>
                <w:szCs w:val="24"/>
              </w:rPr>
            </w:r>
            <w:r w:rsidR="00201031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177F5D48" w14:textId="77777777" w:rsidR="00BC2A48" w:rsidRDefault="00BC2A48" w:rsidP="00DC2B84">
            <w:pPr>
              <w:pStyle w:val="dajtabulky"/>
            </w:pPr>
          </w:p>
        </w:tc>
      </w:tr>
      <w:tr w:rsidR="00BC2A48" w14:paraId="7A89A21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50655E2C" w14:textId="77777777" w:rsidR="00BC2A48" w:rsidRDefault="00BC2A48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AA9F4" w14:textId="77777777" w:rsidR="00BC2A48" w:rsidRDefault="00BC2A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EB6EC06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0F56AB54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0D1BDBDE" w14:textId="77777777" w:rsidR="00BC2A48" w:rsidRDefault="00BC2A48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9E35" w14:textId="77777777" w:rsidR="00BC2A48" w:rsidRDefault="00BC2A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1980078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1EDFE28E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AF7692F" w14:textId="77777777" w:rsidR="00BC2A48" w:rsidRDefault="00BC2A48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AD99F" w14:textId="77777777" w:rsidR="00BC2A48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11" w:name="Oddil"/>
            <w:r>
              <w:instrText xml:space="preserve"> FORMTEXT </w:instrText>
            </w:r>
            <w:r w:rsidR="00201031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B8B07" w14:textId="77777777" w:rsidR="00BC2A48" w:rsidRDefault="00BC2A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10A18109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1AC887D0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0E03227A" w14:textId="77777777" w:rsidR="00BC2A48" w:rsidRDefault="00BC2A48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6156" w14:textId="77777777" w:rsidR="00BC2A48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201031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8F0DE" w14:textId="77777777" w:rsidR="00BC2A48" w:rsidRDefault="00BC2A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6F3D3935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3DC2C553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A0EFD39" w14:textId="77777777" w:rsidR="00BC2A48" w:rsidRDefault="00BC2A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53232" w14:textId="77777777" w:rsidR="00BC2A48" w:rsidRDefault="00D82B62" w:rsidP="00725A6E">
            <w:pPr>
              <w:pStyle w:val="dajtabulky12"/>
            </w:pPr>
            <w:r>
              <w:t>D - Výkresová dokumentace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94BC" w14:textId="77777777" w:rsidR="00BC2A48" w:rsidRDefault="00BC2A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29DDD1B5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5C604F06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7418E04F" w14:textId="77777777" w:rsidR="00BC2A48" w:rsidRDefault="00BC2A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22AC3" w14:textId="77777777" w:rsidR="00BC2A48" w:rsidRDefault="00D82B62" w:rsidP="00725A6E">
            <w:pPr>
              <w:pStyle w:val="dajtabulky12"/>
            </w:pPr>
            <w:r>
              <w:t>D.1 - STAVEBNÍ ČÁST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F629E" w14:textId="77777777" w:rsidR="00BC2A48" w:rsidRDefault="00BC2A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14:paraId="574710E7" w14:textId="77777777" w:rsidR="00BC2A48" w:rsidRDefault="00BC2A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BC2A48" w14:paraId="54054C9D" w14:textId="77777777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75C4829A" w14:textId="77777777" w:rsidR="00BC2A48" w:rsidRDefault="00BC2A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D33D98" w14:textId="77777777" w:rsidR="00BC2A48" w:rsidRDefault="00D82B62" w:rsidP="00725A6E">
            <w:pPr>
              <w:pStyle w:val="dajtabulky12"/>
            </w:pPr>
            <w:r>
              <w:t>D.1.2 - SO 02 Oplocení a zpevněné plochy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58EE9635" w14:textId="77777777" w:rsidR="00BC2A48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BC2A48" w14:paraId="190768B3" w14:textId="77777777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6A59094F" w14:textId="77777777" w:rsidR="00BC2A48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74C71993" w14:textId="77777777" w:rsidR="00BC2A48" w:rsidRDefault="00BC2A4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152D229A" w14:textId="77777777" w:rsidR="00BC2A48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7F952DB5" w14:textId="77777777" w:rsidR="00BC2A48" w:rsidRDefault="00D82B62">
            <w:pPr>
              <w:pStyle w:val="Popisektabulky"/>
            </w:pPr>
            <w:r>
              <w:t>Revize</w:t>
            </w:r>
          </w:p>
        </w:tc>
      </w:tr>
      <w:tr w:rsidR="00BC2A48" w14:paraId="2033D3DD" w14:textId="77777777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4C485CE4" w14:textId="77777777" w:rsidR="00BC2A48" w:rsidRDefault="00BC2A48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F2063B5" w14:textId="77777777" w:rsidR="00BC2A48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689DD82A" w14:textId="77777777" w:rsidR="00BC2A48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1.2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D.1.2.1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0A7AB30E" w14:textId="77777777" w:rsidR="00BC2A48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14:paraId="7F538C77" w14:textId="77777777" w:rsidR="00BC2A48" w:rsidRDefault="00BC2A48" w:rsidP="008922DA"/>
    <w:p w14:paraId="4340A080" w14:textId="77777777" w:rsidR="00BC2A48" w:rsidRDefault="00BC2A48" w:rsidP="008922DA">
      <w:pPr>
        <w:sectPr w:rsidR="00BC2A48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3DDD262E" w14:textId="77777777" w:rsidR="00606874" w:rsidRDefault="00606874">
      <w:pPr>
        <w:pStyle w:val="Obsah2"/>
        <w:rPr>
          <w:color w:val="006699"/>
        </w:rPr>
      </w:pPr>
    </w:p>
    <w:p w14:paraId="12078554" w14:textId="77777777" w:rsidR="00606874" w:rsidRDefault="00606874">
      <w:pPr>
        <w:spacing w:before="0"/>
        <w:rPr>
          <w:noProof/>
          <w:color w:val="006699"/>
        </w:rPr>
      </w:pPr>
      <w:r>
        <w:rPr>
          <w:color w:val="006699"/>
        </w:rPr>
        <w:br w:type="page"/>
      </w:r>
    </w:p>
    <w:p w14:paraId="439420F8" w14:textId="06630D18" w:rsidR="009525CC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01528140" w:history="1">
        <w:r w:rsidR="009525CC" w:rsidRPr="00075340">
          <w:rPr>
            <w:rStyle w:val="Hypertextovodkaz"/>
            <w:noProof/>
          </w:rPr>
          <w:t>1</w:t>
        </w:r>
        <w:r w:rsidR="009525C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9525CC" w:rsidRPr="00075340">
          <w:rPr>
            <w:rStyle w:val="Hypertextovodkaz"/>
            <w:noProof/>
          </w:rPr>
          <w:t>Oplocení</w:t>
        </w:r>
        <w:r w:rsidR="009525CC">
          <w:rPr>
            <w:noProof/>
            <w:webHidden/>
          </w:rPr>
          <w:tab/>
        </w:r>
        <w:r w:rsidR="009525CC">
          <w:rPr>
            <w:noProof/>
            <w:webHidden/>
          </w:rPr>
          <w:fldChar w:fldCharType="begin"/>
        </w:r>
        <w:r w:rsidR="009525CC">
          <w:rPr>
            <w:noProof/>
            <w:webHidden/>
          </w:rPr>
          <w:instrText xml:space="preserve"> PAGEREF _Toc101528140 \h </w:instrText>
        </w:r>
        <w:r w:rsidR="009525CC">
          <w:rPr>
            <w:noProof/>
            <w:webHidden/>
          </w:rPr>
        </w:r>
        <w:r w:rsidR="009525CC">
          <w:rPr>
            <w:noProof/>
            <w:webHidden/>
          </w:rPr>
          <w:fldChar w:fldCharType="separate"/>
        </w:r>
        <w:r w:rsidR="00201031">
          <w:rPr>
            <w:noProof/>
            <w:webHidden/>
          </w:rPr>
          <w:t>4</w:t>
        </w:r>
        <w:r w:rsidR="009525CC">
          <w:rPr>
            <w:noProof/>
            <w:webHidden/>
          </w:rPr>
          <w:fldChar w:fldCharType="end"/>
        </w:r>
      </w:hyperlink>
    </w:p>
    <w:p w14:paraId="24C1A309" w14:textId="3391D63B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1" w:history="1">
        <w:r w:rsidR="009525CC" w:rsidRPr="00075340">
          <w:rPr>
            <w:rStyle w:val="Hypertextovodkaz"/>
          </w:rPr>
          <w:t>1.1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Dispoziční řešení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_Toc101528141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4</w:t>
        </w:r>
        <w:r w:rsidR="009525CC">
          <w:rPr>
            <w:webHidden/>
          </w:rPr>
          <w:fldChar w:fldCharType="end"/>
        </w:r>
      </w:hyperlink>
    </w:p>
    <w:p w14:paraId="33985B0D" w14:textId="7DC61633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2" w:history="1">
        <w:r w:rsidR="009525CC" w:rsidRPr="00075340">
          <w:rPr>
            <w:rStyle w:val="Hypertextovodkaz"/>
          </w:rPr>
          <w:t>1.2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Přípravné práce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_Toc101528142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4</w:t>
        </w:r>
        <w:r w:rsidR="009525CC">
          <w:rPr>
            <w:webHidden/>
          </w:rPr>
          <w:fldChar w:fldCharType="end"/>
        </w:r>
      </w:hyperlink>
    </w:p>
    <w:p w14:paraId="76E9BFD6" w14:textId="6B66AA70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3" w:history="1">
        <w:r w:rsidR="009525CC" w:rsidRPr="00075340">
          <w:rPr>
            <w:rStyle w:val="Hypertextovodkaz"/>
          </w:rPr>
          <w:t>1.3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Konstrukční řešení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_Toc101528143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4</w:t>
        </w:r>
        <w:r w:rsidR="009525CC">
          <w:rPr>
            <w:webHidden/>
          </w:rPr>
          <w:fldChar w:fldCharType="end"/>
        </w:r>
      </w:hyperlink>
    </w:p>
    <w:p w14:paraId="007164D7" w14:textId="50F176A6" w:rsidR="009525CC" w:rsidRDefault="00201031">
      <w:pPr>
        <w:pStyle w:val="Obsah3"/>
        <w:tabs>
          <w:tab w:val="left" w:pos="1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528144" w:history="1">
        <w:r w:rsidR="009525CC" w:rsidRPr="00075340">
          <w:rPr>
            <w:rStyle w:val="Hypertextovodkaz"/>
            <w:noProof/>
          </w:rPr>
          <w:t>1.3.1</w:t>
        </w:r>
        <w:r w:rsidR="00952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5CC" w:rsidRPr="00075340">
          <w:rPr>
            <w:rStyle w:val="Hypertextovodkaz"/>
            <w:noProof/>
          </w:rPr>
          <w:t>Plot</w:t>
        </w:r>
        <w:r w:rsidR="009525CC">
          <w:rPr>
            <w:noProof/>
            <w:webHidden/>
          </w:rPr>
          <w:tab/>
        </w:r>
        <w:r w:rsidR="009525CC">
          <w:rPr>
            <w:noProof/>
            <w:webHidden/>
          </w:rPr>
          <w:fldChar w:fldCharType="begin"/>
        </w:r>
        <w:r w:rsidR="009525CC">
          <w:rPr>
            <w:noProof/>
            <w:webHidden/>
          </w:rPr>
          <w:instrText xml:space="preserve"> PAGEREF _Toc101528144 \h </w:instrText>
        </w:r>
        <w:r w:rsidR="009525CC">
          <w:rPr>
            <w:noProof/>
            <w:webHidden/>
          </w:rPr>
        </w:r>
        <w:r w:rsidR="009525C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25CC">
          <w:rPr>
            <w:noProof/>
            <w:webHidden/>
          </w:rPr>
          <w:fldChar w:fldCharType="end"/>
        </w:r>
      </w:hyperlink>
    </w:p>
    <w:p w14:paraId="19363565" w14:textId="6C503E09" w:rsidR="009525CC" w:rsidRDefault="00201031">
      <w:pPr>
        <w:pStyle w:val="Obsah3"/>
        <w:tabs>
          <w:tab w:val="left" w:pos="1440"/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1528145" w:history="1">
        <w:r w:rsidR="009525CC" w:rsidRPr="00075340">
          <w:rPr>
            <w:rStyle w:val="Hypertextovodkaz"/>
            <w:noProof/>
          </w:rPr>
          <w:t>1.3.2</w:t>
        </w:r>
        <w:r w:rsidR="009525C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525CC" w:rsidRPr="00075340">
          <w:rPr>
            <w:rStyle w:val="Hypertextovodkaz"/>
            <w:noProof/>
          </w:rPr>
          <w:t>Branky</w:t>
        </w:r>
        <w:r w:rsidR="009525CC">
          <w:rPr>
            <w:noProof/>
            <w:webHidden/>
          </w:rPr>
          <w:tab/>
        </w:r>
        <w:r w:rsidR="009525CC">
          <w:rPr>
            <w:noProof/>
            <w:webHidden/>
          </w:rPr>
          <w:fldChar w:fldCharType="begin"/>
        </w:r>
        <w:r w:rsidR="009525CC">
          <w:rPr>
            <w:noProof/>
            <w:webHidden/>
          </w:rPr>
          <w:instrText xml:space="preserve"> PAGEREF _Toc101528145 \h </w:instrText>
        </w:r>
        <w:r w:rsidR="009525CC">
          <w:rPr>
            <w:noProof/>
            <w:webHidden/>
          </w:rPr>
        </w:r>
        <w:r w:rsidR="009525C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525CC">
          <w:rPr>
            <w:noProof/>
            <w:webHidden/>
          </w:rPr>
          <w:fldChar w:fldCharType="end"/>
        </w:r>
      </w:hyperlink>
    </w:p>
    <w:p w14:paraId="4FAB1A64" w14:textId="17DF7E56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6" w:history="1">
        <w:r w:rsidR="009525CC" w:rsidRPr="00075340">
          <w:rPr>
            <w:rStyle w:val="Hypertextovodkaz"/>
          </w:rPr>
          <w:t>1.4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Úpravy kolem oplocení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_Toc101528146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4</w:t>
        </w:r>
        <w:r w:rsidR="009525CC">
          <w:rPr>
            <w:webHidden/>
          </w:rPr>
          <w:fldChar w:fldCharType="end"/>
        </w:r>
      </w:hyperlink>
    </w:p>
    <w:p w14:paraId="7220443B" w14:textId="0006F2B8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7" w:history="1">
        <w:r w:rsidR="009525CC" w:rsidRPr="00075340">
          <w:rPr>
            <w:rStyle w:val="Hypertextovodkaz"/>
          </w:rPr>
          <w:t>1.5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Ostatní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_Toc101528147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5</w:t>
        </w:r>
        <w:r w:rsidR="009525CC">
          <w:rPr>
            <w:webHidden/>
          </w:rPr>
          <w:fldChar w:fldCharType="end"/>
        </w:r>
      </w:hyperlink>
    </w:p>
    <w:p w14:paraId="5AE6821E" w14:textId="262E579F" w:rsidR="009525CC" w:rsidRDefault="00201031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1528148" w:history="1">
        <w:r w:rsidR="009525CC" w:rsidRPr="00075340">
          <w:rPr>
            <w:rStyle w:val="Hypertextovodkaz"/>
            <w:noProof/>
          </w:rPr>
          <w:t>2</w:t>
        </w:r>
        <w:r w:rsidR="009525C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9525CC" w:rsidRPr="00075340">
          <w:rPr>
            <w:rStyle w:val="Hypertextovodkaz"/>
            <w:noProof/>
          </w:rPr>
          <w:t>Zpevněné plochy</w:t>
        </w:r>
        <w:r w:rsidR="009525CC">
          <w:rPr>
            <w:noProof/>
            <w:webHidden/>
          </w:rPr>
          <w:tab/>
        </w:r>
        <w:r w:rsidR="009525CC">
          <w:rPr>
            <w:noProof/>
            <w:webHidden/>
          </w:rPr>
          <w:fldChar w:fldCharType="begin"/>
        </w:r>
        <w:r w:rsidR="009525CC">
          <w:rPr>
            <w:noProof/>
            <w:webHidden/>
          </w:rPr>
          <w:instrText xml:space="preserve"> PAGEREF _Toc101528148 \h </w:instrText>
        </w:r>
        <w:r w:rsidR="009525CC">
          <w:rPr>
            <w:noProof/>
            <w:webHidden/>
          </w:rPr>
        </w:r>
        <w:r w:rsidR="009525C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25CC">
          <w:rPr>
            <w:noProof/>
            <w:webHidden/>
          </w:rPr>
          <w:fldChar w:fldCharType="end"/>
        </w:r>
      </w:hyperlink>
    </w:p>
    <w:p w14:paraId="581AAE4F" w14:textId="7F8BF29A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49" w:history="1">
        <w:r w:rsidR="009525CC" w:rsidRPr="00075340">
          <w:rPr>
            <w:rStyle w:val="Hypertextovodkaz"/>
          </w:rPr>
          <w:t>2.1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Dispoziční řešení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_Toc101528149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5</w:t>
        </w:r>
        <w:r w:rsidR="009525CC">
          <w:rPr>
            <w:webHidden/>
          </w:rPr>
          <w:fldChar w:fldCharType="end"/>
        </w:r>
      </w:hyperlink>
    </w:p>
    <w:p w14:paraId="129DFEBE" w14:textId="55075CB1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50" w:history="1">
        <w:r w:rsidR="009525CC" w:rsidRPr="00075340">
          <w:rPr>
            <w:rStyle w:val="Hypertextovodkaz"/>
          </w:rPr>
          <w:t>2.2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Přípravné práce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_Toc101528150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5</w:t>
        </w:r>
        <w:r w:rsidR="009525CC">
          <w:rPr>
            <w:webHidden/>
          </w:rPr>
          <w:fldChar w:fldCharType="end"/>
        </w:r>
      </w:hyperlink>
    </w:p>
    <w:p w14:paraId="52428408" w14:textId="26B7EE3A" w:rsidR="009525CC" w:rsidRDefault="00201031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101528151" w:history="1">
        <w:r w:rsidR="009525CC" w:rsidRPr="00075340">
          <w:rPr>
            <w:rStyle w:val="Hypertextovodkaz"/>
          </w:rPr>
          <w:t>2.3</w:t>
        </w:r>
        <w:r w:rsidR="009525CC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25CC" w:rsidRPr="00075340">
          <w:rPr>
            <w:rStyle w:val="Hypertextovodkaz"/>
          </w:rPr>
          <w:t>Konstrukční řešení</w:t>
        </w:r>
        <w:r w:rsidR="009525CC">
          <w:rPr>
            <w:webHidden/>
          </w:rPr>
          <w:tab/>
        </w:r>
        <w:r w:rsidR="009525CC">
          <w:rPr>
            <w:webHidden/>
          </w:rPr>
          <w:fldChar w:fldCharType="begin"/>
        </w:r>
        <w:r w:rsidR="009525CC">
          <w:rPr>
            <w:webHidden/>
          </w:rPr>
          <w:instrText xml:space="preserve"> PAGEREF _Toc101528151 \h </w:instrText>
        </w:r>
        <w:r w:rsidR="009525CC">
          <w:rPr>
            <w:webHidden/>
          </w:rPr>
        </w:r>
        <w:r w:rsidR="009525CC">
          <w:rPr>
            <w:webHidden/>
          </w:rPr>
          <w:fldChar w:fldCharType="separate"/>
        </w:r>
        <w:r>
          <w:rPr>
            <w:webHidden/>
          </w:rPr>
          <w:t>5</w:t>
        </w:r>
        <w:r w:rsidR="009525CC">
          <w:rPr>
            <w:webHidden/>
          </w:rPr>
          <w:fldChar w:fldCharType="end"/>
        </w:r>
      </w:hyperlink>
    </w:p>
    <w:p w14:paraId="5CD00BE8" w14:textId="632F4F66" w:rsidR="009525CC" w:rsidRDefault="00201031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01528152" w:history="1">
        <w:r w:rsidR="009525CC" w:rsidRPr="00075340">
          <w:rPr>
            <w:rStyle w:val="Hypertextovodkaz"/>
            <w:noProof/>
          </w:rPr>
          <w:t>3</w:t>
        </w:r>
        <w:r w:rsidR="009525CC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9525CC" w:rsidRPr="00075340">
          <w:rPr>
            <w:rStyle w:val="Hypertextovodkaz"/>
            <w:noProof/>
          </w:rPr>
          <w:t>Obecné požadavky</w:t>
        </w:r>
        <w:r w:rsidR="009525CC">
          <w:rPr>
            <w:noProof/>
            <w:webHidden/>
          </w:rPr>
          <w:tab/>
        </w:r>
        <w:r w:rsidR="009525CC">
          <w:rPr>
            <w:noProof/>
            <w:webHidden/>
          </w:rPr>
          <w:fldChar w:fldCharType="begin"/>
        </w:r>
        <w:r w:rsidR="009525CC">
          <w:rPr>
            <w:noProof/>
            <w:webHidden/>
          </w:rPr>
          <w:instrText xml:space="preserve"> PAGEREF _Toc101528152 \h </w:instrText>
        </w:r>
        <w:r w:rsidR="009525CC">
          <w:rPr>
            <w:noProof/>
            <w:webHidden/>
          </w:rPr>
        </w:r>
        <w:r w:rsidR="009525C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525CC">
          <w:rPr>
            <w:noProof/>
            <w:webHidden/>
          </w:rPr>
          <w:fldChar w:fldCharType="end"/>
        </w:r>
      </w:hyperlink>
    </w:p>
    <w:p w14:paraId="07598349" w14:textId="3465BDCA" w:rsidR="00BC2A48" w:rsidRDefault="00D82B62" w:rsidP="00990FA7">
      <w:r>
        <w:rPr>
          <w:b/>
          <w:bCs/>
        </w:rPr>
        <w:fldChar w:fldCharType="end"/>
      </w:r>
    </w:p>
    <w:p w14:paraId="5C86D0F9" w14:textId="77777777" w:rsidR="006A5BDC" w:rsidRDefault="00D82B62" w:rsidP="00606874">
      <w:pPr>
        <w:pStyle w:val="Nadpis2"/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431360321"/>
      <w:bookmarkStart w:id="33" w:name="_Toc483231750"/>
      <w:bookmarkStart w:id="34" w:name="_Toc483550109"/>
      <w:bookmarkStart w:id="35" w:name="_Toc34745405"/>
      <w:bookmarkStart w:id="36" w:name="_Toc10021678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4B616502" w14:textId="56E1B9E7" w:rsidR="006A5BDC" w:rsidRDefault="006A5BDC" w:rsidP="006A5BDC">
      <w:pPr>
        <w:pStyle w:val="Nadpis1"/>
        <w:numPr>
          <w:ilvl w:val="0"/>
          <w:numId w:val="2"/>
        </w:numPr>
      </w:pPr>
      <w:bookmarkStart w:id="37" w:name="_Toc101528140"/>
      <w:r>
        <w:lastRenderedPageBreak/>
        <w:t>Oplocení</w:t>
      </w:r>
      <w:bookmarkEnd w:id="37"/>
    </w:p>
    <w:p w14:paraId="2852848B" w14:textId="3B0BB667" w:rsidR="00606874" w:rsidRPr="0096175B" w:rsidRDefault="00606874" w:rsidP="00606874">
      <w:pPr>
        <w:pStyle w:val="Nadpis2"/>
      </w:pPr>
      <w:bookmarkStart w:id="38" w:name="_Toc101528141"/>
      <w:r w:rsidRPr="0096175B">
        <w:t>Dispoziční řešení</w:t>
      </w:r>
      <w:bookmarkEnd w:id="32"/>
      <w:bookmarkEnd w:id="33"/>
      <w:bookmarkEnd w:id="34"/>
      <w:bookmarkEnd w:id="35"/>
      <w:bookmarkEnd w:id="36"/>
      <w:bookmarkEnd w:id="38"/>
    </w:p>
    <w:p w14:paraId="00B39B12" w14:textId="61D5E171" w:rsidR="00606874" w:rsidRPr="0096175B" w:rsidRDefault="00606874" w:rsidP="00606874">
      <w:pPr>
        <w:pStyle w:val="AqpText0"/>
      </w:pPr>
      <w:r w:rsidRPr="0096175B">
        <w:t xml:space="preserve">Stávající oplocení včetně </w:t>
      </w:r>
      <w:r w:rsidR="006A5BDC">
        <w:t>branek</w:t>
      </w:r>
      <w:r w:rsidRPr="0096175B">
        <w:t xml:space="preserve"> bude v celé délce odstraněno.</w:t>
      </w:r>
      <w:r w:rsidR="002C634A">
        <w:t xml:space="preserve"> Nové oplocení povede ve stejné trase jako stávající, umístění </w:t>
      </w:r>
      <w:r w:rsidR="006A24D2">
        <w:t>branek a jejich velikost (šířka) zůstane zachována dle původního stavu</w:t>
      </w:r>
      <w:r w:rsidR="002C634A">
        <w:t>.</w:t>
      </w:r>
    </w:p>
    <w:p w14:paraId="0550BB76" w14:textId="4674B58E" w:rsidR="00606874" w:rsidRPr="0096175B" w:rsidRDefault="00606874" w:rsidP="00606874">
      <w:pPr>
        <w:pStyle w:val="AqpText0"/>
      </w:pPr>
      <w:r w:rsidRPr="0096175B">
        <w:t xml:space="preserve">Oplocení bude budováno po provedení hrubých terénních úprav a je navrženo z ocelového pozinkovaného a poplastovaného pletiva </w:t>
      </w:r>
      <w:r w:rsidR="00810F08">
        <w:t>modré</w:t>
      </w:r>
      <w:r w:rsidRPr="0096175B">
        <w:t xml:space="preserve"> barvy. Plot bude zabraňovat vstupu nepovolaných osob do areálu. Přístup do areálu bude přes </w:t>
      </w:r>
      <w:r w:rsidR="006A5BDC">
        <w:t>branky</w:t>
      </w:r>
      <w:r w:rsidRPr="0096175B">
        <w:t xml:space="preserve">. Celková délka oplocení včetně </w:t>
      </w:r>
      <w:r w:rsidR="00EC6FF4">
        <w:t>branek</w:t>
      </w:r>
      <w:r w:rsidRPr="0096175B">
        <w:t xml:space="preserve"> je cca </w:t>
      </w:r>
      <w:r w:rsidR="00EC6FF4">
        <w:t>4</w:t>
      </w:r>
      <w:r w:rsidR="00812A7C">
        <w:t>6</w:t>
      </w:r>
      <w:r w:rsidR="00EC6FF4">
        <w:t>,</w:t>
      </w:r>
      <w:r w:rsidR="00EF1EAA">
        <w:t>0</w:t>
      </w:r>
      <w:r w:rsidRPr="0096175B">
        <w:t xml:space="preserve"> m. Výška oplocení 1,8</w:t>
      </w:r>
      <w:r w:rsidR="001E57CE">
        <w:t> </w:t>
      </w:r>
      <w:r w:rsidRPr="0096175B">
        <w:t>m</w:t>
      </w:r>
      <w:r w:rsidR="001F43AE">
        <w:t xml:space="preserve"> (pletivo výšky 1,8 m, v místech s </w:t>
      </w:r>
      <w:proofErr w:type="spellStart"/>
      <w:r w:rsidR="001F43AE">
        <w:t>podhrabovými</w:t>
      </w:r>
      <w:proofErr w:type="spellEnd"/>
      <w:r w:rsidR="001F43AE">
        <w:t xml:space="preserve"> deskami 1,6 m)</w:t>
      </w:r>
      <w:r w:rsidRPr="0096175B">
        <w:t>.</w:t>
      </w:r>
    </w:p>
    <w:p w14:paraId="05346102" w14:textId="77777777" w:rsidR="00606874" w:rsidRPr="0096175B" w:rsidRDefault="00606874" w:rsidP="00606874">
      <w:pPr>
        <w:pStyle w:val="Nadpis2"/>
      </w:pPr>
      <w:bookmarkStart w:id="39" w:name="_Toc1563320"/>
      <w:bookmarkStart w:id="40" w:name="_Toc34745406"/>
      <w:bookmarkStart w:id="41" w:name="_Toc100216786"/>
      <w:bookmarkStart w:id="42" w:name="_Toc101528142"/>
      <w:r w:rsidRPr="0096175B">
        <w:t>Přípravné práce</w:t>
      </w:r>
      <w:bookmarkEnd w:id="39"/>
      <w:bookmarkEnd w:id="40"/>
      <w:bookmarkEnd w:id="41"/>
      <w:bookmarkEnd w:id="42"/>
    </w:p>
    <w:p w14:paraId="457A3F1C" w14:textId="78E4D3CA" w:rsidR="00606874" w:rsidRDefault="00606874" w:rsidP="00606874">
      <w:pPr>
        <w:pStyle w:val="AqpText0"/>
      </w:pPr>
      <w:r w:rsidRPr="0096175B">
        <w:t>Demontáž stávajícího oplocení</w:t>
      </w:r>
      <w:r w:rsidR="00EC6FF4">
        <w:t xml:space="preserve"> výšky 1,65 m tvořeného rámy se žebrovou sítí navařenou mezi ocelové sloupky</w:t>
      </w:r>
      <w:r w:rsidRPr="0096175B">
        <w:t>. Demontáž</w:t>
      </w:r>
      <w:r w:rsidR="005104FE">
        <w:t xml:space="preserve"> tří kusů ocelových jedno</w:t>
      </w:r>
      <w:r w:rsidRPr="0096175B">
        <w:t>křídl</w:t>
      </w:r>
      <w:r w:rsidR="005104FE">
        <w:t>ých</w:t>
      </w:r>
      <w:r w:rsidRPr="0096175B">
        <w:t xml:space="preserve"> </w:t>
      </w:r>
      <w:r w:rsidR="007C6E84" w:rsidRPr="0096175B">
        <w:t>bran</w:t>
      </w:r>
      <w:r w:rsidR="007C6E84">
        <w:t>ek</w:t>
      </w:r>
      <w:r w:rsidRPr="0096175B">
        <w:t xml:space="preserve"> s osovou roztečí sloupků cca </w:t>
      </w:r>
      <w:r w:rsidR="005104FE">
        <w:t>1,0</w:t>
      </w:r>
      <w:r w:rsidRPr="0096175B">
        <w:t xml:space="preserve"> m. Celková délka stávajícího oplocení výšky včetně brán je cca </w:t>
      </w:r>
      <w:r w:rsidR="0063200A">
        <w:t>48,5</w:t>
      </w:r>
      <w:r w:rsidRPr="0096175B">
        <w:t xml:space="preserve"> m.</w:t>
      </w:r>
    </w:p>
    <w:p w14:paraId="7D9DF067" w14:textId="22AD671C" w:rsidR="00E10824" w:rsidRPr="0096175B" w:rsidRDefault="00E10824" w:rsidP="00606874">
      <w:pPr>
        <w:pStyle w:val="AqpText0"/>
      </w:pPr>
      <w:r>
        <w:t>Ze stávajícího oplocení bude demontován klíčový trezor, který bude umístěn do fasády objektu – viz technická zpráva stavební části ATS – příloha D.1.1.1.</w:t>
      </w:r>
    </w:p>
    <w:p w14:paraId="7DD3E445" w14:textId="5025A97C" w:rsidR="00606874" w:rsidRPr="0096175B" w:rsidRDefault="00606874" w:rsidP="00606874">
      <w:r w:rsidRPr="0096175B">
        <w:t>Vytyčení nové trasy oplocení.</w:t>
      </w:r>
    </w:p>
    <w:p w14:paraId="44E9244D" w14:textId="77777777" w:rsidR="00606874" w:rsidRPr="0096175B" w:rsidRDefault="00606874" w:rsidP="00606874">
      <w:pPr>
        <w:pStyle w:val="Nadpis2"/>
      </w:pPr>
      <w:bookmarkStart w:id="43" w:name="_Toc422288616"/>
      <w:bookmarkStart w:id="44" w:name="_Toc422288628"/>
      <w:bookmarkStart w:id="45" w:name="_Toc422291207"/>
      <w:bookmarkStart w:id="46" w:name="_Toc431360322"/>
      <w:bookmarkStart w:id="47" w:name="_Toc483231751"/>
      <w:bookmarkStart w:id="48" w:name="_Toc483550110"/>
      <w:bookmarkStart w:id="49" w:name="_Toc34745407"/>
      <w:bookmarkStart w:id="50" w:name="_Toc100216787"/>
      <w:bookmarkStart w:id="51" w:name="_Toc101528143"/>
      <w:r w:rsidRPr="0096175B">
        <w:t>Konstrukční řešení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3F2273EA" w14:textId="6FE1092B" w:rsidR="00606874" w:rsidRDefault="00606874" w:rsidP="00606874">
      <w:pPr>
        <w:pStyle w:val="AqpText0"/>
      </w:pPr>
      <w:r w:rsidRPr="0096175B">
        <w:t>Výpis prvků oplocení je uveden na vzorovém výkrese oplocení. Veškeré prvky oplocení budou typové. Montáž bude provedena dle technologického předpisu výrobce. Brána (v případě, že nebude typová), bude odpovídat materiálové a vzhledově zbytku oplocení.</w:t>
      </w:r>
    </w:p>
    <w:p w14:paraId="2729B9D3" w14:textId="099CA8D1" w:rsidR="00097C0A" w:rsidRPr="0096175B" w:rsidRDefault="00097C0A" w:rsidP="00606874">
      <w:pPr>
        <w:pStyle w:val="AqpText0"/>
      </w:pPr>
      <w:r>
        <w:t xml:space="preserve">Konečné barevné řešení bude odsouhlaseno investorem. V projektu je uvažováno </w:t>
      </w:r>
      <w:r w:rsidR="00810F08">
        <w:t>s modrou barvou</w:t>
      </w:r>
      <w:r>
        <w:t>.</w:t>
      </w:r>
    </w:p>
    <w:p w14:paraId="27C5BEF6" w14:textId="77777777" w:rsidR="00606874" w:rsidRPr="0096175B" w:rsidRDefault="00606874" w:rsidP="00606874">
      <w:pPr>
        <w:pStyle w:val="Nadpis3"/>
      </w:pPr>
      <w:bookmarkStart w:id="52" w:name="_Toc422288617"/>
      <w:bookmarkStart w:id="53" w:name="_Toc422288629"/>
      <w:bookmarkStart w:id="54" w:name="_Toc422291208"/>
      <w:bookmarkStart w:id="55" w:name="_Toc431360323"/>
      <w:bookmarkStart w:id="56" w:name="_Toc483231752"/>
      <w:bookmarkStart w:id="57" w:name="_Toc34745408"/>
      <w:bookmarkStart w:id="58" w:name="_Toc100216788"/>
      <w:bookmarkStart w:id="59" w:name="_Toc101528144"/>
      <w:bookmarkStart w:id="60" w:name="_Toc483550111"/>
      <w:r w:rsidRPr="0096175B">
        <w:t>Plot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Pr="0096175B">
        <w:t xml:space="preserve"> </w:t>
      </w:r>
      <w:bookmarkEnd w:id="60"/>
    </w:p>
    <w:p w14:paraId="683BACDF" w14:textId="77777777" w:rsidR="00606874" w:rsidRPr="0096175B" w:rsidRDefault="00606874" w:rsidP="00606874">
      <w:pPr>
        <w:pStyle w:val="AqpText0"/>
      </w:pPr>
      <w:r w:rsidRPr="0096175B">
        <w:t>Plotové sloupky budou z ocelových pozinkovaných a poplastovaných trubek a budou osazeny do betonových patek. Napínací sloupky budou vzepřeny vzpěrami z ocelových pozinkovaných a poplastovaných trubek, které budou rovněž osazeny do betonových patek.</w:t>
      </w:r>
    </w:p>
    <w:p w14:paraId="5463C81E" w14:textId="77777777" w:rsidR="00606874" w:rsidRPr="0096175B" w:rsidRDefault="00606874" w:rsidP="00606874">
      <w:pPr>
        <w:pStyle w:val="AqpText0"/>
      </w:pPr>
      <w:r w:rsidRPr="0096175B">
        <w:t>Sloupky na začátku a konci oplocení budou opatřeny vždy jednou vzpěrou, na každém rohu vždy dvěma vzpěrami a průběžné sloupky v přímých trasách každých 25-30 m budou vybaveny vždy dvěma protilehlými vzpěrami – tyto sloupky budou sloužit pro napínání nosného napínacího drátu.</w:t>
      </w:r>
    </w:p>
    <w:p w14:paraId="6F96BD8A" w14:textId="1B99CB63" w:rsidR="00371A6E" w:rsidRPr="0096175B" w:rsidRDefault="00371A6E" w:rsidP="00606874">
      <w:pPr>
        <w:pStyle w:val="AqpText0"/>
      </w:pPr>
      <w:r w:rsidRPr="00367F63">
        <w:t>V ose pletiva</w:t>
      </w:r>
      <w:r>
        <w:t xml:space="preserve"> (mimo zpevněné plochy) </w:t>
      </w:r>
      <w:r w:rsidRPr="00367F63">
        <w:t xml:space="preserve"> budou instalovány </w:t>
      </w:r>
      <w:proofErr w:type="spellStart"/>
      <w:r w:rsidRPr="00367F63">
        <w:t>podhrabové</w:t>
      </w:r>
      <w:proofErr w:type="spellEnd"/>
      <w:r w:rsidRPr="00367F63">
        <w:t xml:space="preserve"> desky uchycené k plotovým sloupkům pomocí systémových držáků.</w:t>
      </w:r>
    </w:p>
    <w:p w14:paraId="2ADC096F" w14:textId="77777777" w:rsidR="00606874" w:rsidRPr="0096175B" w:rsidRDefault="00606874" w:rsidP="00606874">
      <w:pPr>
        <w:pStyle w:val="AqpText0"/>
      </w:pPr>
      <w:r w:rsidRPr="0096175B">
        <w:t>Pletivo bude pozinkované a poplastované. Pletivo bude neseno třemi řadami ocelových pozinkovaných a poplastovaných napínacích drátů.</w:t>
      </w:r>
    </w:p>
    <w:p w14:paraId="5662B386" w14:textId="7406B591" w:rsidR="00606874" w:rsidRPr="0096175B" w:rsidRDefault="00606874" w:rsidP="00606874">
      <w:pPr>
        <w:pStyle w:val="Nadpis3"/>
      </w:pPr>
      <w:bookmarkStart w:id="61" w:name="_Toc483550113"/>
      <w:bookmarkStart w:id="62" w:name="_Toc34745409"/>
      <w:bookmarkStart w:id="63" w:name="_Toc100216789"/>
      <w:bookmarkStart w:id="64" w:name="_Toc101528145"/>
      <w:r w:rsidRPr="0096175B">
        <w:t>Br</w:t>
      </w:r>
      <w:bookmarkEnd w:id="61"/>
      <w:bookmarkEnd w:id="62"/>
      <w:bookmarkEnd w:id="63"/>
      <w:r w:rsidR="008254DE">
        <w:t>anky</w:t>
      </w:r>
      <w:bookmarkEnd w:id="64"/>
    </w:p>
    <w:p w14:paraId="238E1178" w14:textId="2B41C4F8" w:rsidR="00606874" w:rsidRPr="0096175B" w:rsidRDefault="00606874" w:rsidP="00606874">
      <w:pPr>
        <w:pStyle w:val="AqpText0"/>
      </w:pPr>
      <w:r w:rsidRPr="0096175B">
        <w:t>Vstupní br</w:t>
      </w:r>
      <w:r w:rsidR="008254DE">
        <w:t>anky</w:t>
      </w:r>
      <w:r w:rsidRPr="0096175B">
        <w:t xml:space="preserve"> do areálu j</w:t>
      </w:r>
      <w:r w:rsidR="008254DE">
        <w:t>sou</w:t>
      </w:r>
      <w:r w:rsidRPr="0096175B">
        <w:t xml:space="preserve"> navržen</w:t>
      </w:r>
      <w:r w:rsidR="008254DE">
        <w:t>y</w:t>
      </w:r>
      <w:r w:rsidRPr="0096175B">
        <w:t xml:space="preserve"> ocelov</w:t>
      </w:r>
      <w:r w:rsidR="008254DE">
        <w:t>é</w:t>
      </w:r>
      <w:r w:rsidRPr="0096175B">
        <w:t xml:space="preserve"> </w:t>
      </w:r>
      <w:r w:rsidR="008254DE">
        <w:t>jednokřídlé</w:t>
      </w:r>
      <w:r w:rsidRPr="0096175B">
        <w:t xml:space="preserve"> otočn</w:t>
      </w:r>
      <w:r w:rsidR="008254DE">
        <w:t>é</w:t>
      </w:r>
      <w:r w:rsidRPr="0096175B">
        <w:t xml:space="preserve"> průchozí šířky min. </w:t>
      </w:r>
      <w:r w:rsidR="008254DE">
        <w:t>1</w:t>
      </w:r>
      <w:r w:rsidRPr="0096175B">
        <w:t>,0 m, s křídly otvíravými dovnitř areálu. Křídla budou zavěšena na ocelové sloupky osazené do betonových patek z betonu C16/20. Součástí křídel b</w:t>
      </w:r>
      <w:r w:rsidR="008254DE">
        <w:t>ranek</w:t>
      </w:r>
      <w:r w:rsidRPr="0096175B">
        <w:t xml:space="preserve"> bude oboustranná klika</w:t>
      </w:r>
      <w:r w:rsidR="008254DE">
        <w:t xml:space="preserve"> s kováním a</w:t>
      </w:r>
      <w:r w:rsidRPr="0096175B">
        <w:t xml:space="preserve"> zadlabací vložkový</w:t>
      </w:r>
      <w:r w:rsidR="008254DE">
        <w:t xml:space="preserve"> zámek</w:t>
      </w:r>
      <w:r w:rsidRPr="0096175B">
        <w:t xml:space="preserve"> s bezpečnostní vložkou do venkovního prostředí. Sloupky i křídla brány před montáží žárově pozinkovat a opatřit nátěrovým systémem v barvě poplastovaného pletiva – </w:t>
      </w:r>
      <w:r w:rsidR="00A60F60">
        <w:t>modrá</w:t>
      </w:r>
      <w:r w:rsidRPr="0096175B">
        <w:t>.</w:t>
      </w:r>
    </w:p>
    <w:p w14:paraId="1C40F0C1" w14:textId="77777777" w:rsidR="00606874" w:rsidRPr="0096175B" w:rsidRDefault="00606874" w:rsidP="00606874">
      <w:pPr>
        <w:pStyle w:val="AqpText0"/>
      </w:pPr>
      <w:r w:rsidRPr="0096175B">
        <w:t>Na sloupky branky budou navařena oka pro uchycení pletiva a napínacího drátu.</w:t>
      </w:r>
    </w:p>
    <w:p w14:paraId="0260CC85" w14:textId="77777777" w:rsidR="00606874" w:rsidRPr="00F230BA" w:rsidRDefault="00606874" w:rsidP="00606874">
      <w:pPr>
        <w:pStyle w:val="Nadpis2"/>
      </w:pPr>
      <w:bookmarkStart w:id="65" w:name="_Toc264620154"/>
      <w:bookmarkStart w:id="66" w:name="_Toc264544769"/>
      <w:bookmarkStart w:id="67" w:name="_Toc254785828"/>
      <w:bookmarkStart w:id="68" w:name="_Toc244316780"/>
      <w:bookmarkStart w:id="69" w:name="_Toc399939027"/>
      <w:bookmarkStart w:id="70" w:name="_Toc273011295"/>
      <w:bookmarkStart w:id="71" w:name="_Toc265513823"/>
      <w:bookmarkStart w:id="72" w:name="_Toc422291211"/>
      <w:bookmarkStart w:id="73" w:name="_Toc431360325"/>
      <w:bookmarkStart w:id="74" w:name="_Toc483231754"/>
      <w:bookmarkStart w:id="75" w:name="_Toc483550114"/>
      <w:bookmarkStart w:id="76" w:name="_Toc34745410"/>
      <w:bookmarkStart w:id="77" w:name="_Toc100216790"/>
      <w:bookmarkStart w:id="78" w:name="_Toc101528146"/>
      <w:r w:rsidRPr="00F230BA">
        <w:t xml:space="preserve">Úpravy kolem </w:t>
      </w:r>
      <w:bookmarkEnd w:id="65"/>
      <w:bookmarkEnd w:id="66"/>
      <w:bookmarkEnd w:id="67"/>
      <w:bookmarkEnd w:id="68"/>
      <w:r w:rsidRPr="00F230BA">
        <w:t>oplocení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5692CAD4" w14:textId="77777777" w:rsidR="00606874" w:rsidRPr="00F230BA" w:rsidRDefault="00606874" w:rsidP="00606874">
      <w:pPr>
        <w:pStyle w:val="AqpText0"/>
      </w:pPr>
      <w:r w:rsidRPr="00F230BA">
        <w:t>Na závěr terénních úprav v okolí oplocení se provede ohumusování a osetí travním semenem.</w:t>
      </w:r>
    </w:p>
    <w:p w14:paraId="587C0FEB" w14:textId="77777777" w:rsidR="00606874" w:rsidRPr="00F230BA" w:rsidRDefault="00606874" w:rsidP="00606874">
      <w:pPr>
        <w:pStyle w:val="Nadpis2"/>
      </w:pPr>
      <w:bookmarkStart w:id="79" w:name="_Toc483550115"/>
      <w:bookmarkStart w:id="80" w:name="_Toc34745411"/>
      <w:bookmarkStart w:id="81" w:name="_Toc100216791"/>
      <w:bookmarkStart w:id="82" w:name="_Toc101528147"/>
      <w:r w:rsidRPr="00F230BA">
        <w:lastRenderedPageBreak/>
        <w:t>Ostatní</w:t>
      </w:r>
      <w:bookmarkEnd w:id="79"/>
      <w:bookmarkEnd w:id="80"/>
      <w:bookmarkEnd w:id="81"/>
      <w:bookmarkEnd w:id="82"/>
    </w:p>
    <w:p w14:paraId="0DB31FBB" w14:textId="38B226C8" w:rsidR="00BC2A48" w:rsidRDefault="00606874" w:rsidP="00606874">
      <w:r w:rsidRPr="00F230BA">
        <w:t>Oplocený areál ATS bude zřetelně označen tabulkami zakazujícími vstup nepovolaným osobám.</w:t>
      </w:r>
    </w:p>
    <w:p w14:paraId="2586A0CC" w14:textId="7FE00B03" w:rsidR="00DA3A4F" w:rsidRDefault="00DA3A4F" w:rsidP="00DA3A4F">
      <w:pPr>
        <w:pStyle w:val="Nadpis1"/>
      </w:pPr>
      <w:bookmarkStart w:id="83" w:name="_Toc101528148"/>
      <w:r>
        <w:t>Zpevněné plochy</w:t>
      </w:r>
      <w:bookmarkEnd w:id="83"/>
    </w:p>
    <w:p w14:paraId="2C957867" w14:textId="77777777" w:rsidR="00DA3A4F" w:rsidRPr="0096175B" w:rsidRDefault="00DA3A4F" w:rsidP="00DA3A4F">
      <w:pPr>
        <w:pStyle w:val="Nadpis2"/>
      </w:pPr>
      <w:bookmarkStart w:id="84" w:name="_Toc101528149"/>
      <w:r w:rsidRPr="0096175B">
        <w:t>Dispoziční řešení</w:t>
      </w:r>
      <w:bookmarkEnd w:id="84"/>
    </w:p>
    <w:p w14:paraId="0E841941" w14:textId="77777777" w:rsidR="002A6559" w:rsidRDefault="00DA3A4F" w:rsidP="00DA3A4F">
      <w:pPr>
        <w:jc w:val="both"/>
      </w:pPr>
      <w:r>
        <w:t>Stávající zpevněné plochy tvořené asfaltem a chodníky s betonovou dlažbou budou kompletně odstraněny v celém areálu. Rozsah je demolice je patrný ze situačního výkresu.</w:t>
      </w:r>
    </w:p>
    <w:p w14:paraId="51135F42" w14:textId="00E30358" w:rsidR="00DA3A4F" w:rsidRDefault="002A6559" w:rsidP="00DA3A4F">
      <w:pPr>
        <w:jc w:val="both"/>
      </w:pPr>
      <w:r>
        <w:t>Nové zpevněné plochy budou provedeny ze zámkové dlažby a částečně ze zatravňovací betonové dlažby. Rozsah nových zpevněných ploch bude odpovídat rozsahu stávajících ploch.</w:t>
      </w:r>
    </w:p>
    <w:p w14:paraId="53585CD6" w14:textId="77777777" w:rsidR="00D70999" w:rsidRPr="0096175B" w:rsidRDefault="00D70999" w:rsidP="00D70999">
      <w:pPr>
        <w:pStyle w:val="Nadpis2"/>
      </w:pPr>
      <w:bookmarkStart w:id="85" w:name="_Toc101528150"/>
      <w:r w:rsidRPr="0096175B">
        <w:t>Přípravné práce</w:t>
      </w:r>
      <w:bookmarkEnd w:id="85"/>
    </w:p>
    <w:p w14:paraId="2003F846" w14:textId="398343AC" w:rsidR="00D70999" w:rsidRDefault="00D70999" w:rsidP="00DA3A4F">
      <w:pPr>
        <w:jc w:val="both"/>
      </w:pPr>
      <w:r>
        <w:t>Odstranění asfaltové plochy</w:t>
      </w:r>
      <w:r w:rsidR="00CA3A1A">
        <w:t xml:space="preserve"> částečně lemované betonovými obrubníky</w:t>
      </w:r>
      <w:r>
        <w:t xml:space="preserve"> (plocha cca </w:t>
      </w:r>
      <w:r w:rsidR="00CA3A1A">
        <w:t>42</w:t>
      </w:r>
      <w:r>
        <w:t>,0 m</w:t>
      </w:r>
      <w:r w:rsidRPr="00D70999">
        <w:rPr>
          <w:vertAlign w:val="superscript"/>
        </w:rPr>
        <w:t>2</w:t>
      </w:r>
      <w:r>
        <w:t>), včetně</w:t>
      </w:r>
      <w:r w:rsidR="00CA3A1A">
        <w:t xml:space="preserve"> odstranění</w:t>
      </w:r>
      <w:r>
        <w:t xml:space="preserve"> navazujících podkladních vrstev</w:t>
      </w:r>
      <w:r w:rsidR="00FB525B">
        <w:t xml:space="preserve"> do hloubky cca 300 mm.</w:t>
      </w:r>
      <w:r w:rsidR="008F61FF">
        <w:t xml:space="preserve"> Odstranění chodníku z betonové dlažby</w:t>
      </w:r>
      <w:r w:rsidR="00CA3A1A">
        <w:t xml:space="preserve"> formátu</w:t>
      </w:r>
      <w:r w:rsidR="008F61FF">
        <w:t xml:space="preserve"> 300 x 300 mm</w:t>
      </w:r>
      <w:r w:rsidR="00AA37BB">
        <w:t xml:space="preserve"> lemované betonovými obrubníky</w:t>
      </w:r>
      <w:r w:rsidR="008F61FF">
        <w:t xml:space="preserve"> </w:t>
      </w:r>
      <w:r w:rsidR="00CA3A1A">
        <w:t xml:space="preserve">(plocha cca </w:t>
      </w:r>
      <w:r w:rsidR="00AA37BB">
        <w:t>23,0 m</w:t>
      </w:r>
      <w:r w:rsidR="00AA37BB" w:rsidRPr="00AA37BB">
        <w:rPr>
          <w:vertAlign w:val="superscript"/>
        </w:rPr>
        <w:t>2</w:t>
      </w:r>
      <w:r w:rsidR="00AA37BB">
        <w:t>), včetně odstranění navazujících podkladních vrstev do hloubky cca 300 mm.</w:t>
      </w:r>
    </w:p>
    <w:p w14:paraId="3EA4DCA4" w14:textId="1CBBA461" w:rsidR="00F668C1" w:rsidRDefault="00F668C1" w:rsidP="00F668C1">
      <w:pPr>
        <w:pStyle w:val="Nadpis2"/>
      </w:pPr>
      <w:bookmarkStart w:id="86" w:name="_Toc101528151"/>
      <w:r w:rsidRPr="0096175B">
        <w:t>Konstrukční řešení</w:t>
      </w:r>
      <w:bookmarkEnd w:id="86"/>
    </w:p>
    <w:p w14:paraId="659DCDA4" w14:textId="009BDA72" w:rsidR="003845AC" w:rsidRPr="003845AC" w:rsidRDefault="003845AC" w:rsidP="003845AC">
      <w:r>
        <w:t>Rozsah zpevněných ploch je patrný ze situačního výkresu.</w:t>
      </w:r>
    </w:p>
    <w:p w14:paraId="2936FC0D" w14:textId="1D64FE19" w:rsidR="002F7731" w:rsidRDefault="00F668C1" w:rsidP="00DA3A4F">
      <w:pPr>
        <w:jc w:val="both"/>
      </w:pPr>
      <w:r>
        <w:t xml:space="preserve">Nové zpevněné plochy budou provedeny z betonové zámkové dlažby v přírodní barvě </w:t>
      </w:r>
      <w:proofErr w:type="spellStart"/>
      <w:r>
        <w:t>tl</w:t>
      </w:r>
      <w:proofErr w:type="spellEnd"/>
      <w:r>
        <w:t xml:space="preserve">. 60 mm (pouze pěší provoz) </w:t>
      </w:r>
      <w:r w:rsidRPr="0096175B">
        <w:t>lemovan</w:t>
      </w:r>
      <w:r>
        <w:t>é</w:t>
      </w:r>
      <w:r w:rsidRPr="0096175B">
        <w:t xml:space="preserve"> betonovými </w:t>
      </w:r>
      <w:r w:rsidR="0016703D">
        <w:t>chodníkovými</w:t>
      </w:r>
      <w:r w:rsidRPr="0096175B">
        <w:t xml:space="preserve"> obrubníky</w:t>
      </w:r>
      <w:r w:rsidR="00AA533C">
        <w:t xml:space="preserve"> uloženými do betonového lože</w:t>
      </w:r>
      <w:r>
        <w:t xml:space="preserve"> (obrubník jen v místech sousedících s nezpevněnou plochou).</w:t>
      </w:r>
      <w:r w:rsidR="00C2017B" w:rsidRPr="00C2017B">
        <w:t xml:space="preserve"> </w:t>
      </w:r>
      <w:r w:rsidR="00C2017B" w:rsidRPr="0096175B">
        <w:t>Sklon zpevněné plochy bude cca 1–2 % a odvodněna bude přes zapuštěné obrubníky do travnaté plochy.</w:t>
      </w:r>
      <w:r w:rsidR="00AA533C">
        <w:t xml:space="preserve"> V místě zpevněné plochy dosahující oplocení bude zámková dlažba dotažena až po toto oplocení</w:t>
      </w:r>
      <w:r w:rsidR="00E9707F">
        <w:t xml:space="preserve"> a ukončena obrubníky</w:t>
      </w:r>
      <w:r w:rsidR="00AA533C">
        <w:t>.</w:t>
      </w:r>
    </w:p>
    <w:p w14:paraId="7BC7E4E3" w14:textId="72872BF2" w:rsidR="00F668C1" w:rsidRDefault="002F7731" w:rsidP="00DA3A4F">
      <w:pPr>
        <w:jc w:val="both"/>
      </w:pPr>
      <w:r>
        <w:t xml:space="preserve">Zámková dlažba bude kladena do kladecí vrstvy z kamenné drtě 4-8 mm tloušťky 40 mm. Spáry dlažby budou vyplněny pískem frakce 0-2 mm. Pod kladecí vrstvou bude provedena vrstva z drceného kameniva </w:t>
      </w:r>
      <w:r w:rsidR="00B91D18">
        <w:t>0-32</w:t>
      </w:r>
      <w:r>
        <w:t xml:space="preserve"> mm tloušťky min. </w:t>
      </w:r>
      <w:r w:rsidR="00B91D18">
        <w:t>15</w:t>
      </w:r>
      <w:r>
        <w:t>0 mm, která bude od stávající zeminy separována netkanou textilií.</w:t>
      </w:r>
    </w:p>
    <w:p w14:paraId="6F736F54" w14:textId="1FF0B965" w:rsidR="005F31CC" w:rsidRPr="00DA3A4F" w:rsidRDefault="005F31CC" w:rsidP="00DA3A4F">
      <w:pPr>
        <w:jc w:val="both"/>
      </w:pPr>
      <w:r>
        <w:t xml:space="preserve">Nově oproti stávajícímu rozsahu zpevněných ploch bude provedeno propojení chodníku od vstupu do ATS k zadní části objektu z betonové zatravňovací dlažby kladené přímo do </w:t>
      </w:r>
      <w:r w:rsidR="00B91D18">
        <w:t>kladecí vrstvy z kamenné drtě 4-8 mm tloušťky 40 mm</w:t>
      </w:r>
      <w:r>
        <w:t>.</w:t>
      </w:r>
    </w:p>
    <w:p w14:paraId="71D5E180" w14:textId="77777777" w:rsidR="006A5BDC" w:rsidRPr="00F230BA" w:rsidRDefault="006A5BDC" w:rsidP="006A5BDC">
      <w:pPr>
        <w:pStyle w:val="Nadpis1"/>
        <w:jc w:val="both"/>
      </w:pPr>
      <w:bookmarkStart w:id="87" w:name="_Toc513793496"/>
      <w:bookmarkStart w:id="88" w:name="_Toc1563324"/>
      <w:bookmarkStart w:id="89" w:name="_Toc63859097"/>
      <w:bookmarkStart w:id="90" w:name="_Toc101528152"/>
      <w:r w:rsidRPr="00F230BA">
        <w:t>Obecné požadavky</w:t>
      </w:r>
      <w:bookmarkEnd w:id="87"/>
      <w:bookmarkEnd w:id="88"/>
      <w:bookmarkEnd w:id="89"/>
      <w:bookmarkEnd w:id="90"/>
    </w:p>
    <w:p w14:paraId="3538DEAA" w14:textId="77777777" w:rsidR="006A5BDC" w:rsidRPr="00F230BA" w:rsidRDefault="006A5BDC" w:rsidP="006A5BDC">
      <w:pPr>
        <w:jc w:val="both"/>
      </w:pPr>
      <w:r w:rsidRPr="00F230BA">
        <w:t>Při realizaci musí být dodrženy veškeré platné ČSN a technické a bezpečnostní předpisy.</w:t>
      </w:r>
    </w:p>
    <w:p w14:paraId="06C5EB05" w14:textId="76557EA1" w:rsidR="006A5BDC" w:rsidRDefault="006A5BDC" w:rsidP="006A5BDC">
      <w:pPr>
        <w:jc w:val="both"/>
      </w:pPr>
      <w:r w:rsidRPr="00F230BA">
        <w:t>Všechny výrobky, materiály a zařízení je nutné dopravovat, skladovat, zabudovat, a následně ošetřovat v souladu s technologickými předpisy výrobce konkrétního výrobku či materiálu a v souladu s platnými technickými normami a bezpečnostními předpisy.</w:t>
      </w:r>
    </w:p>
    <w:sectPr w:rsidR="006A5BDC" w:rsidSect="00606874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6BB3" w14:textId="77777777" w:rsidR="00D82B62" w:rsidRDefault="00D82B62">
      <w:r>
        <w:separator/>
      </w:r>
    </w:p>
    <w:p w14:paraId="2FDB5EC3" w14:textId="77777777" w:rsidR="00D82B62" w:rsidRDefault="00D82B62"/>
  </w:endnote>
  <w:endnote w:type="continuationSeparator" w:id="0">
    <w:p w14:paraId="5E8541FF" w14:textId="77777777" w:rsidR="00D82B62" w:rsidRDefault="00D82B62">
      <w:r>
        <w:continuationSeparator/>
      </w:r>
    </w:p>
    <w:p w14:paraId="3941CCDF" w14:textId="77777777"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20BB" w14:textId="0867B77C" w:rsidR="00BC2A48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>D.1.2 - SO 02 Oplocení a zpevněné plochy</w:t>
    </w:r>
    <w:r>
      <w:tab/>
    </w:r>
    <w:r>
      <w:fldChar w:fldCharType="begin"/>
    </w:r>
    <w:r>
      <w:instrText xml:space="preserve"> REF Datum_hl \h </w:instrText>
    </w:r>
    <w:r>
      <w:fldChar w:fldCharType="separate"/>
    </w:r>
    <w:r w:rsidR="00201031">
      <w:t>03/2022</w:t>
    </w:r>
    <w:r>
      <w:fldChar w:fldCharType="end"/>
    </w:r>
  </w:p>
  <w:p w14:paraId="51E89799" w14:textId="48504BE4" w:rsidR="00BC2A48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201031">
      <w:t>DSP,DPS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  <w:r>
      <w:t xml:space="preserve"> / </w:t>
    </w:r>
    <w:fldSimple w:instr=" NUMPAGES  \* MERGEFORMAT ">
      <w:r>
        <w:t>3</w:t>
      </w:r>
    </w:fldSimple>
  </w:p>
  <w:p w14:paraId="630CB78D" w14:textId="77777777" w:rsidR="00BC2A48" w:rsidRDefault="00BC2A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792E7" w14:textId="77777777" w:rsidR="00D82B62" w:rsidRDefault="00D82B62">
      <w:r>
        <w:separator/>
      </w:r>
    </w:p>
    <w:p w14:paraId="5E1B5E3D" w14:textId="77777777" w:rsidR="00D82B62" w:rsidRDefault="00D82B62"/>
  </w:footnote>
  <w:footnote w:type="continuationSeparator" w:id="0">
    <w:p w14:paraId="73979804" w14:textId="77777777" w:rsidR="00D82B62" w:rsidRDefault="00D82B62">
      <w:r>
        <w:continuationSeparator/>
      </w:r>
    </w:p>
    <w:p w14:paraId="19AFD448" w14:textId="77777777" w:rsidR="00D82B62" w:rsidRDefault="00D82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726"/>
      <w:gridCol w:w="2626"/>
    </w:tblGrid>
    <w:tr w:rsidR="00BC2A48" w14:paraId="013F84EA" w14:textId="77777777">
      <w:tc>
        <w:tcPr>
          <w:tcW w:w="7128" w:type="dxa"/>
          <w:tcBorders>
            <w:bottom w:val="single" w:sz="4" w:space="0" w:color="006699"/>
          </w:tcBorders>
          <w:vAlign w:val="center"/>
        </w:tcPr>
        <w:p w14:paraId="14BE23DB" w14:textId="77777777" w:rsidR="00BC2A48" w:rsidRDefault="00961079" w:rsidP="0057276A">
          <w:pPr>
            <w:pStyle w:val="Zhlav"/>
          </w:pPr>
          <w:r>
            <w:t>BRNO, ATS LIBUŠINO ÚDOLÍ - REKONSTRUKCE STAVEBNÍ ČÁSTI A TECHNOLOGIE</w:t>
          </w:r>
        </w:p>
      </w:tc>
      <w:tc>
        <w:tcPr>
          <w:tcW w:w="2649" w:type="dxa"/>
        </w:tcPr>
        <w:p w14:paraId="5D7233F1" w14:textId="77777777" w:rsidR="00BC2A48" w:rsidRDefault="00DA12A7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 wp14:anchorId="356520F7" wp14:editId="03AE7ACD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DAA8BF" w14:textId="37357C10" w:rsidR="00BC2A48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201031" w:rsidRPr="00201031">
      <w:rPr>
        <w:sz w:val="12"/>
        <w:szCs w:val="12"/>
      </w:rPr>
      <w:t>1575421-16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41909071">
    <w:abstractNumId w:val="0"/>
  </w:num>
  <w:num w:numId="2" w16cid:durableId="10890862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26FD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97C0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6D2A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6703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CE"/>
    <w:rsid w:val="001E57D1"/>
    <w:rsid w:val="001E6571"/>
    <w:rsid w:val="001E6C0F"/>
    <w:rsid w:val="001F2D81"/>
    <w:rsid w:val="001F43AE"/>
    <w:rsid w:val="001F64F3"/>
    <w:rsid w:val="00201031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1137"/>
    <w:rsid w:val="002A28CC"/>
    <w:rsid w:val="002A50F0"/>
    <w:rsid w:val="002A5F06"/>
    <w:rsid w:val="002A6559"/>
    <w:rsid w:val="002B3066"/>
    <w:rsid w:val="002B57D4"/>
    <w:rsid w:val="002B66CC"/>
    <w:rsid w:val="002C047F"/>
    <w:rsid w:val="002C1D97"/>
    <w:rsid w:val="002C50A0"/>
    <w:rsid w:val="002C5ECE"/>
    <w:rsid w:val="002C634A"/>
    <w:rsid w:val="002D1823"/>
    <w:rsid w:val="002D1B1B"/>
    <w:rsid w:val="002D4B05"/>
    <w:rsid w:val="002D590E"/>
    <w:rsid w:val="002E6817"/>
    <w:rsid w:val="002F0AA0"/>
    <w:rsid w:val="002F7321"/>
    <w:rsid w:val="002F773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1A6E"/>
    <w:rsid w:val="00376225"/>
    <w:rsid w:val="00380B64"/>
    <w:rsid w:val="003845AC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5736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104FE"/>
    <w:rsid w:val="00522D5A"/>
    <w:rsid w:val="0052531B"/>
    <w:rsid w:val="005321A0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31CC"/>
    <w:rsid w:val="005F7046"/>
    <w:rsid w:val="0060091F"/>
    <w:rsid w:val="00603370"/>
    <w:rsid w:val="00604537"/>
    <w:rsid w:val="00605AE4"/>
    <w:rsid w:val="0060685D"/>
    <w:rsid w:val="00606874"/>
    <w:rsid w:val="00612199"/>
    <w:rsid w:val="00612644"/>
    <w:rsid w:val="00613861"/>
    <w:rsid w:val="00613D64"/>
    <w:rsid w:val="006148C7"/>
    <w:rsid w:val="00616FF2"/>
    <w:rsid w:val="006218F6"/>
    <w:rsid w:val="00626BD8"/>
    <w:rsid w:val="0063200A"/>
    <w:rsid w:val="00633FC3"/>
    <w:rsid w:val="006418D5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A24D2"/>
    <w:rsid w:val="006A5BDC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D0918"/>
    <w:rsid w:val="006E0326"/>
    <w:rsid w:val="006F06A1"/>
    <w:rsid w:val="006F6923"/>
    <w:rsid w:val="00700B91"/>
    <w:rsid w:val="00703687"/>
    <w:rsid w:val="007055F6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C6E84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0F08"/>
    <w:rsid w:val="008128D8"/>
    <w:rsid w:val="00812A7C"/>
    <w:rsid w:val="00813301"/>
    <w:rsid w:val="00815F7C"/>
    <w:rsid w:val="0081718A"/>
    <w:rsid w:val="00823912"/>
    <w:rsid w:val="008254DE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61F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25CC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0F60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A37BB"/>
    <w:rsid w:val="00AA533C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0E48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1D18"/>
    <w:rsid w:val="00B926D8"/>
    <w:rsid w:val="00BA0217"/>
    <w:rsid w:val="00BA41EC"/>
    <w:rsid w:val="00BA4547"/>
    <w:rsid w:val="00BC02EC"/>
    <w:rsid w:val="00BC2544"/>
    <w:rsid w:val="00BC25AE"/>
    <w:rsid w:val="00BC2A48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017B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3A1A"/>
    <w:rsid w:val="00CA6FE3"/>
    <w:rsid w:val="00CB0836"/>
    <w:rsid w:val="00CC6725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0999"/>
    <w:rsid w:val="00D741AB"/>
    <w:rsid w:val="00D76E62"/>
    <w:rsid w:val="00D82B62"/>
    <w:rsid w:val="00D830D9"/>
    <w:rsid w:val="00D839FE"/>
    <w:rsid w:val="00D874A2"/>
    <w:rsid w:val="00D913DB"/>
    <w:rsid w:val="00D97BEE"/>
    <w:rsid w:val="00DA12A7"/>
    <w:rsid w:val="00DA3A4F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DF73BD"/>
    <w:rsid w:val="00E043AB"/>
    <w:rsid w:val="00E10824"/>
    <w:rsid w:val="00E10D49"/>
    <w:rsid w:val="00E11DD9"/>
    <w:rsid w:val="00E15283"/>
    <w:rsid w:val="00E17DCE"/>
    <w:rsid w:val="00E2461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9707F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C6FF4"/>
    <w:rsid w:val="00ED2374"/>
    <w:rsid w:val="00ED3EA8"/>
    <w:rsid w:val="00ED4574"/>
    <w:rsid w:val="00EE2273"/>
    <w:rsid w:val="00EE3B82"/>
    <w:rsid w:val="00EE41A6"/>
    <w:rsid w:val="00EE5E73"/>
    <w:rsid w:val="00EE61B3"/>
    <w:rsid w:val="00EF1EAA"/>
    <w:rsid w:val="00EF3CB8"/>
    <w:rsid w:val="00EF5879"/>
    <w:rsid w:val="00EF6443"/>
    <w:rsid w:val="00F0530E"/>
    <w:rsid w:val="00F1536D"/>
    <w:rsid w:val="00F17F4E"/>
    <w:rsid w:val="00F230BA"/>
    <w:rsid w:val="00F24B87"/>
    <w:rsid w:val="00F4004C"/>
    <w:rsid w:val="00F412BB"/>
    <w:rsid w:val="00F443B4"/>
    <w:rsid w:val="00F44BE8"/>
    <w:rsid w:val="00F528CE"/>
    <w:rsid w:val="00F53C10"/>
    <w:rsid w:val="00F64454"/>
    <w:rsid w:val="00F668C1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25B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64AA08E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aliases w:val="Nadpis 11"/>
    <w:basedOn w:val="Normln"/>
    <w:next w:val="Normln"/>
    <w:link w:val="Nadpis3Char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aliases w:val="Nadpis 11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qpText0">
    <w:name w:val="AqpText"/>
    <w:basedOn w:val="Normln"/>
    <w:link w:val="AqpTextChar2"/>
    <w:qFormat/>
    <w:rsid w:val="00606874"/>
    <w:pPr>
      <w:jc w:val="both"/>
    </w:pPr>
  </w:style>
  <w:style w:type="character" w:customStyle="1" w:styleId="AqpTextChar2">
    <w:name w:val="AqpText Char2"/>
    <w:link w:val="AqpText0"/>
    <w:qFormat/>
    <w:locked/>
    <w:rsid w:val="00606874"/>
    <w:rPr>
      <w:rFonts w:ascii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locked/>
    <w:rsid w:val="0060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902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Marek Jakub</cp:lastModifiedBy>
  <cp:revision>50</cp:revision>
  <cp:lastPrinted>2022-04-22T12:45:00Z</cp:lastPrinted>
  <dcterms:created xsi:type="dcterms:W3CDTF">2018-09-11T08:37:00Z</dcterms:created>
  <dcterms:modified xsi:type="dcterms:W3CDTF">2022-04-22T12:45:00Z</dcterms:modified>
</cp:coreProperties>
</file>